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A1F1C5">
      <w:pPr>
        <w:spacing w:after="0"/>
        <w:jc w:val="center"/>
        <w:rPr>
          <w:b/>
          <w:sz w:val="24"/>
          <w:szCs w:val="24"/>
        </w:rPr>
      </w:pPr>
      <w:r>
        <w:rPr>
          <w:b/>
          <w:sz w:val="24"/>
          <w:szCs w:val="24"/>
        </w:rPr>
        <w:t>Project Design Phase</w:t>
      </w:r>
    </w:p>
    <w:p w14:paraId="09C4EF8E">
      <w:pPr>
        <w:spacing w:after="0"/>
        <w:jc w:val="center"/>
        <w:rPr>
          <w:b/>
          <w:sz w:val="24"/>
          <w:szCs w:val="24"/>
        </w:rPr>
      </w:pPr>
      <w:r>
        <w:rPr>
          <w:b/>
          <w:sz w:val="24"/>
          <w:szCs w:val="24"/>
        </w:rPr>
        <w:t>Solution Architecture</w:t>
      </w:r>
    </w:p>
    <w:p w14:paraId="6326DE05">
      <w:pPr>
        <w:spacing w:after="0"/>
        <w:jc w:val="center"/>
        <w:rPr>
          <w:b/>
        </w:rPr>
      </w:pPr>
    </w:p>
    <w:tbl>
      <w:tblPr>
        <w:tblStyle w:val="18"/>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6C9A7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52051F0">
            <w:pPr>
              <w:spacing w:after="0" w:line="240" w:lineRule="auto"/>
            </w:pPr>
            <w:r>
              <w:t>Date</w:t>
            </w:r>
          </w:p>
        </w:tc>
        <w:tc>
          <w:tcPr>
            <w:tcW w:w="4508" w:type="dxa"/>
          </w:tcPr>
          <w:p w14:paraId="23F44226">
            <w:pPr>
              <w:spacing w:after="0" w:line="240" w:lineRule="auto"/>
            </w:pPr>
            <w:r>
              <w:t>27 – June-2025</w:t>
            </w:r>
          </w:p>
        </w:tc>
      </w:tr>
      <w:tr w14:paraId="189E08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7DBE2B5A">
            <w:pPr>
              <w:spacing w:after="0" w:line="240" w:lineRule="auto"/>
            </w:pPr>
            <w:r>
              <w:t>Team ID</w:t>
            </w:r>
          </w:p>
        </w:tc>
        <w:tc>
          <w:tcPr>
            <w:tcW w:w="4508" w:type="dxa"/>
            <w:vAlign w:val="top"/>
          </w:tcPr>
          <w:p w14:paraId="039224E5">
            <w:pPr>
              <w:spacing w:after="0" w:line="240" w:lineRule="auto"/>
            </w:pPr>
            <w:r>
              <w:rPr>
                <w:rFonts w:hint="default" w:ascii="Calibri" w:hAnsi="Calibri" w:eastAsia="SimSun" w:cs="Calibri"/>
                <w:sz w:val="22"/>
                <w:szCs w:val="22"/>
              </w:rPr>
              <w:t>LTVIP2025TMID30749</w:t>
            </w:r>
          </w:p>
        </w:tc>
      </w:tr>
      <w:tr w14:paraId="7247E3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1C3C537">
            <w:pPr>
              <w:spacing w:after="0" w:line="240" w:lineRule="auto"/>
            </w:pPr>
            <w:r>
              <w:t>Project Name</w:t>
            </w:r>
          </w:p>
        </w:tc>
        <w:tc>
          <w:tcPr>
            <w:tcW w:w="4508" w:type="dxa"/>
            <w:vAlign w:val="top"/>
          </w:tcPr>
          <w:p w14:paraId="4E717950">
            <w:pPr>
              <w:spacing w:after="0" w:line="240" w:lineRule="auto"/>
            </w:pPr>
            <w:r>
              <w:rPr>
                <w:rFonts w:hint="default" w:ascii="Calibri" w:hAnsi="Calibri" w:eastAsia="SimSun" w:cs="Calibri"/>
                <w:sz w:val="22"/>
                <w:szCs w:val="22"/>
              </w:rPr>
              <w:t>HealthAI: Intelligent Healthcare Assistant Using IBM Granite</w:t>
            </w:r>
          </w:p>
        </w:tc>
      </w:tr>
      <w:tr w14:paraId="6D6CFC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B00FC14">
            <w:pPr>
              <w:spacing w:after="0" w:line="240" w:lineRule="auto"/>
            </w:pPr>
            <w:r>
              <w:t>Maximum Marks</w:t>
            </w:r>
          </w:p>
        </w:tc>
        <w:tc>
          <w:tcPr>
            <w:tcW w:w="4508" w:type="dxa"/>
          </w:tcPr>
          <w:p w14:paraId="7FD36F97">
            <w:pPr>
              <w:spacing w:after="0" w:line="240" w:lineRule="auto"/>
              <w:rPr>
                <w:sz w:val="24"/>
                <w:szCs w:val="24"/>
              </w:rPr>
            </w:pPr>
            <w:r>
              <w:rPr>
                <w:sz w:val="24"/>
                <w:szCs w:val="24"/>
              </w:rPr>
              <w:t>4 Marks</w:t>
            </w:r>
          </w:p>
        </w:tc>
      </w:tr>
    </w:tbl>
    <w:p w14:paraId="5604FFCE">
      <w:pPr>
        <w:rPr>
          <w:b/>
        </w:rPr>
      </w:pPr>
    </w:p>
    <w:p w14:paraId="634DE954">
      <w:pPr>
        <w:rPr>
          <w:rFonts w:ascii="Arial" w:hAnsi="Arial" w:eastAsia="Arial" w:cs="Arial"/>
          <w:b/>
          <w:color w:val="000000"/>
          <w:sz w:val="24"/>
          <w:szCs w:val="24"/>
        </w:rPr>
      </w:pPr>
      <w:r>
        <w:rPr>
          <w:rFonts w:ascii="Arial" w:hAnsi="Arial" w:eastAsia="Arial" w:cs="Arial"/>
          <w:b/>
          <w:color w:val="000000"/>
          <w:sz w:val="24"/>
          <w:szCs w:val="24"/>
        </w:rPr>
        <w:t>Solution Architecture:</w:t>
      </w:r>
    </w:p>
    <w:p w14:paraId="532AD770">
      <w:pPr>
        <w:rPr>
          <w:sz w:val="24"/>
          <w:szCs w:val="24"/>
        </w:rPr>
      </w:pPr>
      <w:r>
        <w:rPr>
          <w:sz w:val="24"/>
          <w:szCs w:val="24"/>
        </w:rPr>
        <w:t>Solution architecture in the context of the Sustainable Smart City Assistant project defines the integrated framework of tools, technologies, and components that enable the application to deliver smart governance, sustainability forecasting, citizen engagement, and eco-awareness through AI-driven services.</w:t>
      </w:r>
    </w:p>
    <w:p w14:paraId="2D97D581">
      <w:pPr>
        <w:rPr>
          <w:sz w:val="24"/>
          <w:szCs w:val="24"/>
        </w:rPr>
      </w:pPr>
      <w:r>
        <w:rPr>
          <w:sz w:val="24"/>
          <w:szCs w:val="24"/>
        </w:rPr>
        <w:t>It outlines how IBM WatsonX Granite LLM, Pinecone, Streamlit, and machine learning models work together to solve real-world urban challenges such as:</w:t>
      </w:r>
    </w:p>
    <w:p w14:paraId="34E68C55">
      <w:pPr>
        <w:numPr>
          <w:ilvl w:val="0"/>
          <w:numId w:val="1"/>
        </w:numPr>
        <w:rPr>
          <w:sz w:val="24"/>
          <w:szCs w:val="24"/>
        </w:rPr>
      </w:pPr>
      <w:r>
        <w:rPr>
          <w:sz w:val="24"/>
          <w:szCs w:val="24"/>
        </w:rPr>
        <w:t>Interpreting complex policy documents</w:t>
      </w:r>
    </w:p>
    <w:p w14:paraId="0BA263E3">
      <w:pPr>
        <w:numPr>
          <w:ilvl w:val="0"/>
          <w:numId w:val="1"/>
        </w:numPr>
        <w:rPr>
          <w:sz w:val="24"/>
          <w:szCs w:val="24"/>
        </w:rPr>
      </w:pPr>
      <w:r>
        <w:rPr>
          <w:sz w:val="24"/>
          <w:szCs w:val="24"/>
        </w:rPr>
        <w:t>Forecasting key sustainability KPIs</w:t>
      </w:r>
    </w:p>
    <w:p w14:paraId="6FDEA81F">
      <w:pPr>
        <w:numPr>
          <w:ilvl w:val="0"/>
          <w:numId w:val="1"/>
        </w:numPr>
        <w:rPr>
          <w:sz w:val="24"/>
          <w:szCs w:val="24"/>
        </w:rPr>
      </w:pPr>
      <w:r>
        <w:rPr>
          <w:sz w:val="24"/>
          <w:szCs w:val="24"/>
        </w:rPr>
        <w:t>Detecting anomalies in city resource usage</w:t>
      </w:r>
    </w:p>
    <w:p w14:paraId="4BE490FE">
      <w:pPr>
        <w:numPr>
          <w:ilvl w:val="0"/>
          <w:numId w:val="1"/>
        </w:numPr>
        <w:rPr>
          <w:sz w:val="24"/>
          <w:szCs w:val="24"/>
        </w:rPr>
      </w:pPr>
      <w:r>
        <w:rPr>
          <w:sz w:val="24"/>
          <w:szCs w:val="24"/>
        </w:rPr>
        <w:t>Providing intelligent, contextual chat assistance</w:t>
      </w:r>
    </w:p>
    <w:p w14:paraId="1A9B3120">
      <w:pPr>
        <w:numPr>
          <w:ilvl w:val="0"/>
          <w:numId w:val="1"/>
        </w:numPr>
        <w:rPr>
          <w:sz w:val="24"/>
          <w:szCs w:val="24"/>
        </w:rPr>
      </w:pPr>
      <w:r>
        <w:rPr>
          <w:sz w:val="24"/>
          <w:szCs w:val="24"/>
        </w:rPr>
        <w:t>Collecting and analyzing citizen feedback</w:t>
      </w:r>
    </w:p>
    <w:p w14:paraId="4EB84BBA">
      <w:pPr>
        <w:numPr>
          <w:ilvl w:val="0"/>
          <w:numId w:val="1"/>
        </w:numPr>
        <w:rPr>
          <w:sz w:val="24"/>
          <w:szCs w:val="24"/>
        </w:rPr>
      </w:pPr>
      <w:r>
        <w:rPr>
          <w:sz w:val="24"/>
          <w:szCs w:val="24"/>
        </w:rPr>
        <w:t>Promoting environmental behavior change via eco tips</w:t>
      </w:r>
    </w:p>
    <w:p w14:paraId="3436894A">
      <w:pPr>
        <w:ind w:firstLine="1801" w:firstLineChars="750"/>
        <w:rPr>
          <w:b/>
        </w:rPr>
      </w:pPr>
      <w:r>
        <w:rPr>
          <w:rFonts w:ascii="Arial" w:hAnsi="Arial" w:eastAsia="Arial" w:cs="Arial"/>
          <w:b/>
          <w:color w:val="000000"/>
          <w:sz w:val="24"/>
          <w:szCs w:val="24"/>
        </w:rPr>
        <w:t>Solution Architecture Diagram</w:t>
      </w:r>
      <w:r>
        <w:rPr>
          <w:b/>
        </w:rPr>
        <w:t xml:space="preserve">: </w:t>
      </w:r>
    </w:p>
    <w:p w14:paraId="2B3DB86C">
      <w:pPr>
        <w:rPr>
          <w:b/>
        </w:rPr>
      </w:pPr>
    </w:p>
    <w:p w14:paraId="64F3B751">
      <w:pPr>
        <w:rPr>
          <w:b/>
        </w:rPr>
      </w:pPr>
    </w:p>
    <w:p w14:paraId="4DD88F20">
      <w:pPr>
        <w:rPr>
          <w:b/>
        </w:rPr>
      </w:pPr>
      <w:r>
        <w:rPr>
          <w:rFonts w:hint="default"/>
          <w:b/>
          <w:lang w:val="en-US"/>
        </w:rPr>
        <w:drawing>
          <wp:inline distT="0" distB="0" distL="114300" distR="114300">
            <wp:extent cx="5720715" cy="2535555"/>
            <wp:effectExtent l="0" t="0" r="9525" b="9525"/>
            <wp:docPr id="2" name="Picture 2" descr="ChatGPT Image Jun 30, 2025, 02_11_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tGPT Image Jun 30, 2025, 02_11_12 PM"/>
                    <pic:cNvPicPr>
                      <a:picLocks noChangeAspect="1"/>
                    </pic:cNvPicPr>
                  </pic:nvPicPr>
                  <pic:blipFill>
                    <a:blip r:embed="rId6"/>
                    <a:stretch>
                      <a:fillRect/>
                    </a:stretch>
                  </pic:blipFill>
                  <pic:spPr>
                    <a:xfrm>
                      <a:off x="0" y="0"/>
                      <a:ext cx="5720715" cy="2535555"/>
                    </a:xfrm>
                    <a:prstGeom prst="rect">
                      <a:avLst/>
                    </a:prstGeom>
                  </pic:spPr>
                </pic:pic>
              </a:graphicData>
            </a:graphic>
          </wp:inline>
        </w:drawing>
      </w:r>
    </w:p>
    <w:p w14:paraId="0A449D16">
      <w:pPr>
        <w:ind w:firstLine="315" w:firstLineChars="150"/>
        <w:rPr>
          <w:b/>
          <w:bCs/>
        </w:rPr>
      </w:pPr>
      <w:bookmarkStart w:id="0" w:name="_GoBack"/>
      <w:bookmarkEnd w:id="0"/>
      <w:r>
        <w:rPr>
          <w:rFonts w:ascii="Helvetica Neue" w:hAnsi="Helvetica Neue" w:eastAsia="Helvetica Neue" w:cs="Helvetica Neue"/>
          <w:b/>
          <w:bCs/>
          <w:i/>
          <w:color w:val="333333"/>
          <w:sz w:val="21"/>
          <w:szCs w:val="21"/>
        </w:rPr>
        <w:t>Figure 1: Architecture and data flow of the</w:t>
      </w:r>
      <w:r>
        <w:rPr>
          <w:rFonts w:hint="default" w:ascii="Helvetica Neue" w:hAnsi="Helvetica Neue" w:eastAsia="Helvetica Neue" w:cs="Helvetica Neue"/>
          <w:b/>
          <w:bCs/>
          <w:i/>
          <w:color w:val="333333"/>
          <w:sz w:val="21"/>
          <w:szCs w:val="21"/>
          <w:lang w:val="en-US"/>
        </w:rPr>
        <w:t xml:space="preserve"> </w:t>
      </w:r>
      <w:r>
        <w:rPr>
          <w:rFonts w:hint="default" w:ascii="Calibri" w:hAnsi="Calibri" w:eastAsia="SimSun" w:cs="Calibri"/>
          <w:b/>
          <w:bCs/>
          <w:sz w:val="22"/>
          <w:szCs w:val="22"/>
        </w:rPr>
        <w:t>HealthAI: Intelligent Healthcare Assistant</w:t>
      </w:r>
      <w:r>
        <w:rPr>
          <w:rFonts w:ascii="Helvetica Neue" w:hAnsi="Helvetica Neue" w:eastAsia="Helvetica Neue" w:cs="Helvetica Neue"/>
          <w:b/>
          <w:bCs/>
          <w:i/>
          <w:color w:val="333333"/>
          <w:sz w:val="21"/>
          <w:szCs w:val="21"/>
        </w:rPr>
        <w:t xml:space="preserve"> .</w:t>
      </w:r>
    </w:p>
    <w:p w14:paraId="6D11B5AB">
      <w:pPr>
        <w:rPr>
          <w:rFonts w:hint="default"/>
          <w:b/>
          <w:lang w:val="en-US"/>
        </w:rPr>
      </w:pPr>
    </w:p>
    <w:p w14:paraId="229973FA">
      <w:pPr>
        <w:rPr>
          <w:b/>
        </w:rPr>
      </w:pPr>
    </w:p>
    <w:p w14:paraId="3D0A04AF">
      <w:pPr>
        <w:rPr>
          <w:b/>
        </w:rPr>
      </w:pPr>
    </w:p>
    <w:p w14:paraId="6FB242F0">
      <w:pPr>
        <w:rPr>
          <w:b/>
        </w:rPr>
      </w:pPr>
    </w:p>
    <w:p w14:paraId="2C0CEC99">
      <w:pPr>
        <w:rPr>
          <w:b/>
        </w:rPr>
      </w:pPr>
    </w:p>
    <w:p w14:paraId="59BF6DBD">
      <w:pPr>
        <w:rPr>
          <w:b/>
        </w:rPr>
      </w:pPr>
    </w:p>
    <w:p w14:paraId="6AA60EC7">
      <w:pPr>
        <w:rPr>
          <w:b/>
        </w:rPr>
      </w:pPr>
    </w:p>
    <w:p w14:paraId="27B19044">
      <w:pPr>
        <w:rPr>
          <w:b/>
        </w:rPr>
      </w:pPr>
    </w:p>
    <w:p w14:paraId="680F3E17">
      <w:pPr>
        <w:rPr>
          <w:b/>
        </w:rPr>
      </w:pPr>
    </w:p>
    <w:p w14:paraId="5D25C799">
      <w:pPr>
        <w:rPr>
          <w:b/>
        </w:rPr>
      </w:pPr>
    </w:p>
    <w:p w14:paraId="78D95A80">
      <w:pPr>
        <w:rPr>
          <w:b/>
        </w:rPr>
      </w:pPr>
    </w:p>
    <w:p w14:paraId="18534E25">
      <w:pPr>
        <w:rPr>
          <w:b/>
        </w:rPr>
      </w:pPr>
    </w:p>
    <w:p w14:paraId="5E96E17D">
      <w:pPr>
        <w:rPr>
          <w:b/>
        </w:rPr>
      </w:pPr>
    </w:p>
    <w:p w14:paraId="6FCA6F91">
      <w:pPr>
        <w:rPr>
          <w:b/>
        </w:rPr>
      </w:pPr>
    </w:p>
    <w:p w14:paraId="0C5FB432">
      <w:pPr>
        <w:ind w:firstLine="420" w:firstLineChars="200"/>
        <w:rPr>
          <w:b/>
          <w:bCs/>
        </w:rPr>
      </w:pPr>
      <w:r>
        <w:rPr>
          <w:rFonts w:ascii="Helvetica Neue" w:hAnsi="Helvetica Neue" w:eastAsia="Helvetica Neue" w:cs="Helvetica Neue"/>
          <w:b/>
          <w:bCs/>
          <w:i/>
          <w:color w:val="333333"/>
          <w:sz w:val="21"/>
          <w:szCs w:val="21"/>
        </w:rPr>
        <w:t>Figure 1: Architecture and data flow of the</w:t>
      </w:r>
      <w:r>
        <w:rPr>
          <w:rFonts w:hint="default" w:ascii="Helvetica Neue" w:hAnsi="Helvetica Neue" w:eastAsia="Helvetica Neue" w:cs="Helvetica Neue"/>
          <w:b/>
          <w:bCs/>
          <w:i/>
          <w:color w:val="333333"/>
          <w:sz w:val="21"/>
          <w:szCs w:val="21"/>
          <w:lang w:val="en-US"/>
        </w:rPr>
        <w:t xml:space="preserve"> </w:t>
      </w:r>
      <w:r>
        <w:rPr>
          <w:rFonts w:hint="default" w:ascii="Calibri" w:hAnsi="Calibri" w:eastAsia="SimSun" w:cs="Calibri"/>
          <w:b/>
          <w:bCs/>
          <w:sz w:val="22"/>
          <w:szCs w:val="22"/>
        </w:rPr>
        <w:t>HealthAI: Intelligent Healthcare Assistant</w:t>
      </w:r>
      <w:r>
        <w:rPr>
          <w:rFonts w:ascii="Helvetica Neue" w:hAnsi="Helvetica Neue" w:eastAsia="Helvetica Neue" w:cs="Helvetica Neue"/>
          <w:b/>
          <w:bCs/>
          <w:i/>
          <w:color w:val="333333"/>
          <w:sz w:val="21"/>
          <w:szCs w:val="21"/>
        </w:rPr>
        <w:t xml:space="preserve"> .</w:t>
      </w:r>
    </w:p>
    <w:p w14:paraId="1C1442E4">
      <w:pPr>
        <w:rPr>
          <w:b/>
        </w:rPr>
      </w:pPr>
    </w:p>
    <w:p w14:paraId="5056DFCC">
      <w:pPr>
        <w:rPr>
          <w:b/>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CE54295-CB83-4ED8-9384-596BD5916163}"/>
  </w:font>
  <w:font w:name="Arial">
    <w:panose1 w:val="020B0604020202020204"/>
    <w:charset w:val="00"/>
    <w:family w:val="swiss"/>
    <w:pitch w:val="default"/>
    <w:sig w:usb0="E0002EFF" w:usb1="C000785B" w:usb2="00000009" w:usb3="00000000" w:csb0="400001FF" w:csb1="FFFF0000"/>
    <w:embedRegular r:id="rId2" w:fontKey="{A513E821-E608-44D1-9DD2-5E03C8C2A4C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CEB7484-1FB6-404C-BF54-2637B7EABB0C}"/>
  </w:font>
  <w:font w:name="Wingdings">
    <w:panose1 w:val="05000000000000000000"/>
    <w:charset w:val="02"/>
    <w:family w:val="auto"/>
    <w:pitch w:val="default"/>
    <w:sig w:usb0="00000000" w:usb1="00000000" w:usb2="00000000" w:usb3="00000000" w:csb0="80000000" w:csb1="00000000"/>
    <w:embedRegular r:id="rId4" w:fontKey="{B56644E1-4A46-4C83-B936-3F5892BA9291}"/>
  </w:font>
  <w:font w:name="Calibri">
    <w:panose1 w:val="020F0502020204030204"/>
    <w:charset w:val="86"/>
    <w:family w:val="swiss"/>
    <w:pitch w:val="default"/>
    <w:sig w:usb0="E4002EFF" w:usb1="C200247B" w:usb2="00000009" w:usb3="00000000" w:csb0="200001FF" w:csb1="00000000"/>
    <w:embedRegular r:id="rId5" w:fontKey="{B215549A-77F1-406B-91C3-2BEE24D093D7}"/>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C0F80EEB-2F5E-4A14-859F-7EF541B5485D}"/>
  </w:font>
  <w:font w:name="Symbol">
    <w:panose1 w:val="05050102010706020507"/>
    <w:charset w:val="02"/>
    <w:family w:val="roman"/>
    <w:pitch w:val="default"/>
    <w:sig w:usb0="00000000" w:usb1="00000000" w:usb2="00000000" w:usb3="00000000" w:csb0="80000000" w:csb1="00000000"/>
    <w:embedRegular r:id="rId7" w:fontKey="{8C3975B4-2AEA-4187-8569-DF207094F375}"/>
  </w:font>
  <w:font w:name="Helvetica Neue">
    <w:altName w:val="Times New Roman"/>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F840502"/>
    <w:multiLevelType w:val="multilevel"/>
    <w:tmpl w:val="5F8405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F"/>
    <w:rsid w:val="001C691E"/>
    <w:rsid w:val="00267921"/>
    <w:rsid w:val="002C54A6"/>
    <w:rsid w:val="00514526"/>
    <w:rsid w:val="006A57B6"/>
    <w:rsid w:val="0074461B"/>
    <w:rsid w:val="00862077"/>
    <w:rsid w:val="00D271D2"/>
    <w:rsid w:val="00E370AF"/>
    <w:rsid w:val="00FE237C"/>
    <w:rsid w:val="6686091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basedOn w:val="8"/>
    <w:qFormat/>
    <w:uiPriority w:val="20"/>
    <w:rPr>
      <w:i/>
      <w:iCs/>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character" w:customStyle="1" w:styleId="16">
    <w:name w:val="Unresolved Mention"/>
    <w:basedOn w:val="8"/>
    <w:semiHidden/>
    <w:unhideWhenUsed/>
    <w:uiPriority w:val="99"/>
    <w:rPr>
      <w:color w:val="605E5C"/>
      <w:shd w:val="clear" w:color="auto" w:fill="E1DFDD"/>
    </w:rPr>
  </w:style>
  <w:style w:type="paragraph" w:styleId="17">
    <w:name w:val="List Paragraph"/>
    <w:basedOn w:val="1"/>
    <w:qFormat/>
    <w:uiPriority w:val="34"/>
    <w:pPr>
      <w:ind w:left="720"/>
      <w:contextualSpacing/>
    </w:pPr>
  </w:style>
  <w:style w:type="table" w:customStyle="1" w:styleId="18">
    <w:name w:val="_Style 17"/>
    <w:basedOn w:val="9"/>
    <w:uiPriority w:val="0"/>
    <w:pPr>
      <w:spacing w:after="0" w:line="240" w:lineRule="auto"/>
    </w:pPr>
  </w:style>
  <w:style w:type="table" w:customStyle="1" w:styleId="19">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pwmuZZGfFe0iI6OKFkwjZ6JOQSA==">AMUW2mUbrDJ+PuHPZ+HN23YJ/lxF7Sr+fovWev53xxLKFDTYeiXJtivaM+ptqVi+fT/IN5n9TEXK7NnJICH3P6QsFk9RHeqOvE1IXYuvZuN+GsyydOFVOE4=</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204</Words>
  <Characters>1167</Characters>
  <Lines>9</Lines>
  <Paragraphs>2</Paragraphs>
  <TotalTime>2</TotalTime>
  <ScaleCrop>false</ScaleCrop>
  <LinksUpToDate>false</LinksUpToDate>
  <CharactersWithSpaces>1369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2022-10-03T08:27:00Z</dcterms:created>
  <dc:creator>Amarender Katkam</dc:creator>
  <cp:lastModifiedBy>mgane</cp:lastModifiedBy>
  <dcterms:modified xsi:type="dcterms:W3CDTF">2025-06-30T08:43:43Z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43C48CE9DD2A402DBD9FC0DF0FD43E28_13</vt:lpwstr>
  </property>
</Properties>
</file>